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51" w:rsidRPr="00A012F3" w:rsidRDefault="00DF3751" w:rsidP="00FF6010">
      <w:pPr>
        <w:pStyle w:val="Nadpis10"/>
        <w:keepNext/>
        <w:keepLines/>
        <w:shd w:val="clear" w:color="auto" w:fill="auto"/>
        <w:tabs>
          <w:tab w:val="left" w:pos="567"/>
        </w:tabs>
        <w:spacing w:before="0" w:after="240"/>
        <w:ind w:right="23"/>
      </w:pPr>
      <w:r>
        <w:t>D</w:t>
      </w:r>
      <w:r w:rsidRPr="00A012F3">
        <w:t>a</w:t>
      </w:r>
      <w:r>
        <w:t>ň</w:t>
      </w:r>
      <w:r w:rsidRPr="00A012F3">
        <w:t xml:space="preserve"> z nemovitých věcí </w:t>
      </w:r>
      <w:r>
        <w:t xml:space="preserve">– novinky </w:t>
      </w:r>
      <w:r w:rsidRPr="00A012F3">
        <w:t xml:space="preserve">od </w:t>
      </w:r>
      <w:proofErr w:type="gramStart"/>
      <w:r w:rsidRPr="00A012F3">
        <w:t>1.1.2014</w:t>
      </w:r>
      <w:proofErr w:type="gramEnd"/>
    </w:p>
    <w:p w:rsidR="00DF3751" w:rsidRPr="00FF6010" w:rsidRDefault="00DF3751" w:rsidP="00D21009">
      <w:pPr>
        <w:spacing w:after="120" w:line="240" w:lineRule="auto"/>
        <w:ind w:left="-284"/>
        <w:rPr>
          <w:kern w:val="24"/>
        </w:rPr>
      </w:pPr>
      <w:r w:rsidRPr="00FF6010">
        <w:rPr>
          <w:kern w:val="24"/>
        </w:rPr>
        <w:t xml:space="preserve">Dnem </w:t>
      </w:r>
      <w:proofErr w:type="gramStart"/>
      <w:r w:rsidRPr="00FF6010">
        <w:rPr>
          <w:kern w:val="24"/>
        </w:rPr>
        <w:t>1.1.2014</w:t>
      </w:r>
      <w:proofErr w:type="gramEnd"/>
      <w:r w:rsidRPr="00FF6010">
        <w:rPr>
          <w:kern w:val="24"/>
        </w:rPr>
        <w:t xml:space="preserve"> nabývá účinnosti zákonné opatření Senátu č. 344/2013 Sb.,</w:t>
      </w:r>
      <w:r w:rsidR="007D5214">
        <w:rPr>
          <w:kern w:val="24"/>
        </w:rPr>
        <w:t xml:space="preserve"> </w:t>
      </w:r>
      <w:r w:rsidRPr="00FF6010">
        <w:rPr>
          <w:kern w:val="24"/>
        </w:rPr>
        <w:t>kterým se mění mimo jiné i zákon č. 338/1992 Sb., o dani z nemovitostí, ve znění pozdějších předpisů (dále jen „</w:t>
      </w:r>
      <w:r>
        <w:rPr>
          <w:kern w:val="24"/>
        </w:rPr>
        <w:t>zákon</w:t>
      </w:r>
      <w:r w:rsidRPr="00FF6010">
        <w:rPr>
          <w:kern w:val="24"/>
        </w:rPr>
        <w:t>“), především v návaznosti na změny, které v soukromém právu přináší</w:t>
      </w:r>
      <w:r w:rsidR="007D5214">
        <w:rPr>
          <w:kern w:val="24"/>
        </w:rPr>
        <w:t xml:space="preserve"> </w:t>
      </w:r>
      <w:r w:rsidRPr="00FF6010">
        <w:rPr>
          <w:kern w:val="24"/>
        </w:rPr>
        <w:t>zákon č. 89/2012 Sb., občanský zákoník (dále jen „nový občanský zákoník“).</w:t>
      </w:r>
      <w:r w:rsidR="007D5214">
        <w:rPr>
          <w:kern w:val="24"/>
        </w:rPr>
        <w:t xml:space="preserve"> </w:t>
      </w:r>
      <w:r w:rsidRPr="00FF6010">
        <w:rPr>
          <w:kern w:val="24"/>
        </w:rPr>
        <w:t xml:space="preserve">Uvedenou novelou dochází k některým významným změnám, mimo jiné i s dopadem na stanovení daně. </w:t>
      </w:r>
    </w:p>
    <w:p w:rsidR="00DF3751" w:rsidRPr="00FF6010" w:rsidRDefault="00DF3751" w:rsidP="0092060D">
      <w:pPr>
        <w:spacing w:after="60" w:line="240" w:lineRule="auto"/>
        <w:ind w:left="-284"/>
        <w:rPr>
          <w:b/>
          <w:bCs/>
          <w:kern w:val="24"/>
          <w:sz w:val="28"/>
          <w:szCs w:val="28"/>
        </w:rPr>
      </w:pPr>
      <w:r w:rsidRPr="00FF6010">
        <w:rPr>
          <w:b/>
          <w:bCs/>
          <w:kern w:val="24"/>
          <w:sz w:val="28"/>
          <w:szCs w:val="28"/>
        </w:rPr>
        <w:t xml:space="preserve">U některých poplatníků dojde ve srovnání s předchozím zdaňovacím obdobím ke změně okolností rozhodných pro vyměření daně ve smyslu § 13a odst. 1 </w:t>
      </w:r>
      <w:r>
        <w:rPr>
          <w:b/>
          <w:bCs/>
          <w:kern w:val="24"/>
          <w:sz w:val="28"/>
          <w:szCs w:val="28"/>
        </w:rPr>
        <w:t>zákona</w:t>
      </w:r>
      <w:r w:rsidRPr="00FF6010">
        <w:rPr>
          <w:b/>
          <w:bCs/>
          <w:kern w:val="24"/>
          <w:sz w:val="28"/>
          <w:szCs w:val="28"/>
        </w:rPr>
        <w:t xml:space="preserve">, </w:t>
      </w:r>
      <w:r w:rsidRPr="00FF6010">
        <w:rPr>
          <w:b/>
          <w:bCs/>
          <w:kern w:val="24"/>
          <w:sz w:val="28"/>
          <w:szCs w:val="28"/>
          <w:u w:val="single"/>
        </w:rPr>
        <w:t>ačkoliv žádnou nemovitost nenabyli ani nepozbyli</w:t>
      </w:r>
      <w:r w:rsidRPr="00FF6010">
        <w:rPr>
          <w:b/>
          <w:bCs/>
          <w:kern w:val="24"/>
          <w:sz w:val="28"/>
          <w:szCs w:val="28"/>
        </w:rPr>
        <w:t xml:space="preserve">. </w:t>
      </w:r>
    </w:p>
    <w:p w:rsidR="00DF3751" w:rsidRPr="00FF6010" w:rsidRDefault="00DF3751" w:rsidP="0092060D">
      <w:pPr>
        <w:spacing w:after="60" w:line="240" w:lineRule="auto"/>
        <w:ind w:left="-284"/>
        <w:rPr>
          <w:b/>
          <w:bCs/>
          <w:kern w:val="24"/>
          <w:sz w:val="28"/>
          <w:szCs w:val="28"/>
        </w:rPr>
      </w:pPr>
      <w:r w:rsidRPr="00FF6010">
        <w:rPr>
          <w:b/>
          <w:bCs/>
          <w:kern w:val="24"/>
          <w:sz w:val="28"/>
          <w:szCs w:val="28"/>
        </w:rPr>
        <w:t xml:space="preserve">I tito poplatníci </w:t>
      </w:r>
      <w:r>
        <w:rPr>
          <w:b/>
          <w:bCs/>
          <w:kern w:val="24"/>
          <w:sz w:val="28"/>
          <w:szCs w:val="28"/>
        </w:rPr>
        <w:t xml:space="preserve">však </w:t>
      </w:r>
      <w:r w:rsidRPr="00FF6010">
        <w:rPr>
          <w:b/>
          <w:bCs/>
          <w:kern w:val="24"/>
          <w:sz w:val="28"/>
          <w:szCs w:val="28"/>
        </w:rPr>
        <w:t xml:space="preserve">mají </w:t>
      </w:r>
      <w:r w:rsidRPr="00D21009">
        <w:rPr>
          <w:b/>
          <w:bCs/>
          <w:kern w:val="24"/>
          <w:sz w:val="28"/>
          <w:szCs w:val="28"/>
          <w:u w:val="single"/>
        </w:rPr>
        <w:t>povinnost p</w:t>
      </w:r>
      <w:r w:rsidRPr="00FF6010">
        <w:rPr>
          <w:b/>
          <w:bCs/>
          <w:kern w:val="24"/>
          <w:sz w:val="28"/>
          <w:szCs w:val="28"/>
          <w:u w:val="single"/>
        </w:rPr>
        <w:t>odat daňové přiznání</w:t>
      </w:r>
      <w:r w:rsidRPr="00FF6010">
        <w:rPr>
          <w:b/>
          <w:bCs/>
          <w:kern w:val="24"/>
          <w:sz w:val="28"/>
          <w:szCs w:val="28"/>
        </w:rPr>
        <w:t xml:space="preserve"> na rok 2014. </w:t>
      </w:r>
    </w:p>
    <w:p w:rsidR="00DF3751" w:rsidRPr="00FF6010" w:rsidRDefault="00DF3751" w:rsidP="0092060D">
      <w:pPr>
        <w:spacing w:after="60" w:line="240" w:lineRule="auto"/>
        <w:ind w:left="-284"/>
        <w:rPr>
          <w:b/>
          <w:bCs/>
          <w:kern w:val="24"/>
          <w:sz w:val="28"/>
          <w:szCs w:val="28"/>
        </w:rPr>
      </w:pPr>
      <w:r w:rsidRPr="00FF6010">
        <w:rPr>
          <w:b/>
          <w:bCs/>
          <w:kern w:val="24"/>
          <w:sz w:val="28"/>
          <w:szCs w:val="28"/>
        </w:rPr>
        <w:t xml:space="preserve">A to dokonce i tehdy, když u nich dojde ke </w:t>
      </w:r>
      <w:r w:rsidRPr="00FF6010">
        <w:rPr>
          <w:b/>
          <w:bCs/>
          <w:kern w:val="24"/>
          <w:sz w:val="28"/>
          <w:szCs w:val="28"/>
          <w:u w:val="single"/>
        </w:rPr>
        <w:t>snížení</w:t>
      </w:r>
      <w:r w:rsidRPr="00FF6010">
        <w:rPr>
          <w:b/>
          <w:bCs/>
          <w:kern w:val="24"/>
          <w:sz w:val="28"/>
          <w:szCs w:val="28"/>
        </w:rPr>
        <w:t xml:space="preserve"> daňové povinnosti.</w:t>
      </w:r>
    </w:p>
    <w:p w:rsidR="00DF3751" w:rsidRDefault="00DF3751" w:rsidP="0092060D">
      <w:pPr>
        <w:spacing w:after="60" w:line="240" w:lineRule="auto"/>
        <w:ind w:left="284" w:hanging="284"/>
        <w:rPr>
          <w:b/>
          <w:bCs/>
          <w:kern w:val="24"/>
          <w:u w:val="single"/>
        </w:rPr>
      </w:pPr>
    </w:p>
    <w:p w:rsidR="00DF3751" w:rsidRPr="00FC5FE4" w:rsidRDefault="00DF3751" w:rsidP="0092060D">
      <w:pPr>
        <w:pStyle w:val="Odstavecseseznamem"/>
        <w:numPr>
          <w:ilvl w:val="0"/>
          <w:numId w:val="13"/>
        </w:numPr>
        <w:spacing w:after="60" w:line="240" w:lineRule="auto"/>
        <w:ind w:left="0" w:hanging="284"/>
        <w:rPr>
          <w:b/>
          <w:bCs/>
          <w:i/>
          <w:iCs/>
          <w:kern w:val="24"/>
          <w:sz w:val="28"/>
          <w:szCs w:val="28"/>
        </w:rPr>
      </w:pPr>
      <w:r w:rsidRPr="00FC5FE4">
        <w:rPr>
          <w:b/>
          <w:bCs/>
          <w:i/>
          <w:iCs/>
          <w:kern w:val="24"/>
          <w:sz w:val="28"/>
          <w:szCs w:val="28"/>
        </w:rPr>
        <w:t xml:space="preserve">Změny ovlivňující výši daně, u nichž </w:t>
      </w:r>
      <w:r w:rsidRPr="00FC5FE4">
        <w:rPr>
          <w:b/>
          <w:bCs/>
          <w:i/>
          <w:iCs/>
          <w:kern w:val="24"/>
          <w:sz w:val="28"/>
          <w:szCs w:val="28"/>
          <w:u w:val="single"/>
        </w:rPr>
        <w:t>má</w:t>
      </w:r>
      <w:r w:rsidRPr="00FC5FE4">
        <w:rPr>
          <w:b/>
          <w:bCs/>
          <w:i/>
          <w:iCs/>
          <w:kern w:val="24"/>
          <w:sz w:val="28"/>
          <w:szCs w:val="28"/>
        </w:rPr>
        <w:t xml:space="preserve"> poplatník povinnost podat daňové přiznání za rok 2014:</w:t>
      </w:r>
    </w:p>
    <w:p w:rsidR="00DF3751" w:rsidRPr="003218A2" w:rsidRDefault="00DF3751" w:rsidP="0092060D">
      <w:pPr>
        <w:numPr>
          <w:ilvl w:val="0"/>
          <w:numId w:val="4"/>
        </w:numPr>
        <w:tabs>
          <w:tab w:val="num" w:pos="426"/>
          <w:tab w:val="left" w:pos="851"/>
        </w:tabs>
        <w:spacing w:after="60" w:line="240" w:lineRule="auto"/>
        <w:ind w:left="1440" w:hanging="1440"/>
      </w:pPr>
      <w:r w:rsidRPr="00FF6010">
        <w:rPr>
          <w:b/>
          <w:bCs/>
          <w:kern w:val="24"/>
          <w:u w:val="single"/>
        </w:rPr>
        <w:t>Snížení</w:t>
      </w:r>
      <w:r w:rsidRPr="00FF6010">
        <w:rPr>
          <w:b/>
          <w:bCs/>
          <w:kern w:val="24"/>
        </w:rPr>
        <w:t xml:space="preserve"> daňové </w:t>
      </w:r>
      <w:r w:rsidRPr="003218A2">
        <w:rPr>
          <w:b/>
          <w:bCs/>
          <w:kern w:val="24"/>
        </w:rPr>
        <w:t>povinnosti:</w:t>
      </w:r>
    </w:p>
    <w:p w:rsidR="00DF3751" w:rsidRPr="00B04D39" w:rsidRDefault="00DF3751" w:rsidP="0092060D">
      <w:pPr>
        <w:numPr>
          <w:ilvl w:val="0"/>
          <w:numId w:val="8"/>
        </w:numPr>
        <w:spacing w:after="60" w:line="240" w:lineRule="auto"/>
      </w:pPr>
      <w:r w:rsidRPr="00A012F3">
        <w:rPr>
          <w:b/>
          <w:bCs/>
          <w:kern w:val="24"/>
        </w:rPr>
        <w:t xml:space="preserve">Stavby vleček </w:t>
      </w:r>
      <w:r w:rsidRPr="00B04D39">
        <w:rPr>
          <w:kern w:val="24"/>
        </w:rPr>
        <w:t xml:space="preserve">jsou od </w:t>
      </w:r>
      <w:proofErr w:type="gramStart"/>
      <w:r w:rsidRPr="00B04D39">
        <w:rPr>
          <w:kern w:val="24"/>
        </w:rPr>
        <w:t>1.1.2014</w:t>
      </w:r>
      <w:proofErr w:type="gramEnd"/>
      <w:r w:rsidRPr="00B04D39">
        <w:rPr>
          <w:kern w:val="24"/>
        </w:rPr>
        <w:t xml:space="preserve">  předmětem daně z pozemků jako zpevněné plochy pozemků užívané k podnikání, nikoli předmětem daně ze staveb.</w:t>
      </w:r>
    </w:p>
    <w:p w:rsidR="00DF3751" w:rsidRPr="00765DA8" w:rsidRDefault="00DF3751" w:rsidP="0092060D">
      <w:pPr>
        <w:pStyle w:val="Odstavecseseznamem"/>
        <w:numPr>
          <w:ilvl w:val="0"/>
          <w:numId w:val="8"/>
        </w:numPr>
        <w:spacing w:after="60" w:line="240" w:lineRule="auto"/>
      </w:pPr>
      <w:r w:rsidRPr="00765DA8">
        <w:rPr>
          <w:kern w:val="24"/>
        </w:rPr>
        <w:t>Některé stavby ne</w:t>
      </w:r>
      <w:r>
        <w:rPr>
          <w:kern w:val="24"/>
        </w:rPr>
        <w:t>jsou</w:t>
      </w:r>
      <w:r w:rsidRPr="00765DA8">
        <w:rPr>
          <w:kern w:val="24"/>
        </w:rPr>
        <w:t xml:space="preserve"> od </w:t>
      </w:r>
      <w:proofErr w:type="gramStart"/>
      <w:r w:rsidRPr="00765DA8">
        <w:rPr>
          <w:kern w:val="24"/>
        </w:rPr>
        <w:t>1.1.2014</w:t>
      </w:r>
      <w:proofErr w:type="gramEnd"/>
      <w:r w:rsidRPr="00765DA8">
        <w:rPr>
          <w:kern w:val="24"/>
        </w:rPr>
        <w:t xml:space="preserve"> předmětem daně ze staveb a jednotek, neboť nejsou zdanitelnou stavbou podle </w:t>
      </w:r>
      <w:r>
        <w:rPr>
          <w:kern w:val="24"/>
        </w:rPr>
        <w:t>zákona</w:t>
      </w:r>
      <w:r w:rsidRPr="00765DA8">
        <w:rPr>
          <w:kern w:val="24"/>
        </w:rPr>
        <w:t>, tj.</w:t>
      </w:r>
      <w:r w:rsidRPr="00B04D39">
        <w:rPr>
          <w:b/>
          <w:bCs/>
          <w:kern w:val="24"/>
        </w:rPr>
        <w:t xml:space="preserve"> budovou nebo inženýrskou stavbou</w:t>
      </w:r>
      <w:r w:rsidR="00470BC4">
        <w:rPr>
          <w:b/>
          <w:bCs/>
          <w:kern w:val="24"/>
        </w:rPr>
        <w:t xml:space="preserve"> </w:t>
      </w:r>
      <w:r w:rsidRPr="00765DA8">
        <w:t>uvedenou v</w:t>
      </w:r>
      <w:r w:rsidR="00470BC4">
        <w:t> </w:t>
      </w:r>
      <w:r w:rsidRPr="00765DA8">
        <w:t>příloze zákona.</w:t>
      </w:r>
      <w:r>
        <w:t xml:space="preserve"> Jedná se např. o </w:t>
      </w:r>
      <w:r>
        <w:rPr>
          <w:b/>
          <w:bCs/>
          <w:kern w:val="24"/>
        </w:rPr>
        <w:t>t</w:t>
      </w:r>
      <w:r w:rsidRPr="00A012F3">
        <w:rPr>
          <w:b/>
          <w:bCs/>
          <w:kern w:val="24"/>
        </w:rPr>
        <w:t xml:space="preserve">zv. plošné stavby, </w:t>
      </w:r>
      <w:r w:rsidRPr="00765DA8">
        <w:rPr>
          <w:kern w:val="24"/>
        </w:rPr>
        <w:t>které se nacházejí na jiných druzích pozemků,</w:t>
      </w:r>
      <w:r>
        <w:rPr>
          <w:kern w:val="24"/>
        </w:rPr>
        <w:t xml:space="preserve"> než</w:t>
      </w:r>
      <w:r w:rsidRPr="00765DA8">
        <w:rPr>
          <w:kern w:val="24"/>
        </w:rPr>
        <w:t xml:space="preserve"> je zastavěná plocha a nádvoří nebo zpevněná plocha</w:t>
      </w:r>
      <w:r>
        <w:rPr>
          <w:kern w:val="24"/>
        </w:rPr>
        <w:t xml:space="preserve">. </w:t>
      </w:r>
    </w:p>
    <w:p w:rsidR="00DF3751" w:rsidRPr="00765DA8" w:rsidRDefault="00DF3751" w:rsidP="0092060D">
      <w:pPr>
        <w:numPr>
          <w:ilvl w:val="0"/>
          <w:numId w:val="8"/>
        </w:numPr>
        <w:spacing w:after="60" w:line="240" w:lineRule="auto"/>
      </w:pPr>
      <w:r w:rsidRPr="00765DA8">
        <w:rPr>
          <w:kern w:val="24"/>
        </w:rPr>
        <w:t xml:space="preserve">Za </w:t>
      </w:r>
      <w:r w:rsidRPr="00A012F3">
        <w:rPr>
          <w:b/>
          <w:bCs/>
          <w:kern w:val="24"/>
        </w:rPr>
        <w:t xml:space="preserve">nadzemní podlaží </w:t>
      </w:r>
      <w:r w:rsidRPr="00765DA8">
        <w:rPr>
          <w:kern w:val="24"/>
        </w:rPr>
        <w:t xml:space="preserve">pro výpočet sazby daně u staveb užívaných </w:t>
      </w:r>
      <w:r w:rsidRPr="00765DA8">
        <w:rPr>
          <w:b/>
          <w:bCs/>
          <w:kern w:val="24"/>
        </w:rPr>
        <w:t>k podnikání</w:t>
      </w:r>
      <w:r w:rsidRPr="00765DA8">
        <w:rPr>
          <w:kern w:val="24"/>
        </w:rPr>
        <w:t xml:space="preserve"> se </w:t>
      </w:r>
      <w:r>
        <w:rPr>
          <w:kern w:val="24"/>
        </w:rPr>
        <w:t>již ne</w:t>
      </w:r>
      <w:r w:rsidRPr="00765DA8">
        <w:rPr>
          <w:kern w:val="24"/>
        </w:rPr>
        <w:t>považ</w:t>
      </w:r>
      <w:r>
        <w:rPr>
          <w:kern w:val="24"/>
        </w:rPr>
        <w:t>uje</w:t>
      </w:r>
      <w:r w:rsidR="00470BC4">
        <w:rPr>
          <w:kern w:val="24"/>
        </w:rPr>
        <w:t xml:space="preserve"> </w:t>
      </w:r>
      <w:r>
        <w:rPr>
          <w:kern w:val="24"/>
        </w:rPr>
        <w:t>takové</w:t>
      </w:r>
      <w:r w:rsidRPr="00765DA8">
        <w:rPr>
          <w:kern w:val="24"/>
        </w:rPr>
        <w:t xml:space="preserve"> nadzemní podlaží, jehož zastavěná plocha </w:t>
      </w:r>
      <w:r>
        <w:rPr>
          <w:kern w:val="24"/>
        </w:rPr>
        <w:t>je menší než</w:t>
      </w:r>
      <w:r w:rsidR="00470BC4">
        <w:rPr>
          <w:kern w:val="24"/>
        </w:rPr>
        <w:t xml:space="preserve"> </w:t>
      </w:r>
      <w:r w:rsidRPr="00765DA8">
        <w:rPr>
          <w:b/>
          <w:bCs/>
          <w:kern w:val="24"/>
        </w:rPr>
        <w:t>1/3</w:t>
      </w:r>
      <w:r w:rsidRPr="00765DA8">
        <w:rPr>
          <w:kern w:val="24"/>
        </w:rPr>
        <w:t xml:space="preserve"> zastavěné plochy stavby. U některých staveb pro podnikání tak do</w:t>
      </w:r>
      <w:r>
        <w:rPr>
          <w:kern w:val="24"/>
        </w:rPr>
        <w:t>chází</w:t>
      </w:r>
      <w:r w:rsidRPr="00765DA8">
        <w:rPr>
          <w:kern w:val="24"/>
        </w:rPr>
        <w:t xml:space="preserve"> ke snížení počtu podlaží.</w:t>
      </w:r>
    </w:p>
    <w:p w:rsidR="00DF3751" w:rsidRPr="00A012F3" w:rsidRDefault="00DF3751" w:rsidP="0092060D">
      <w:pPr>
        <w:numPr>
          <w:ilvl w:val="0"/>
          <w:numId w:val="4"/>
        </w:numPr>
        <w:tabs>
          <w:tab w:val="num" w:pos="426"/>
        </w:tabs>
        <w:spacing w:after="60" w:line="240" w:lineRule="auto"/>
        <w:ind w:left="1440" w:hanging="1440"/>
      </w:pPr>
      <w:r w:rsidRPr="00FF6010">
        <w:rPr>
          <w:b/>
          <w:bCs/>
          <w:kern w:val="24"/>
          <w:u w:val="single"/>
        </w:rPr>
        <w:t>Zvýšení</w:t>
      </w:r>
      <w:r w:rsidRPr="00A012F3">
        <w:rPr>
          <w:b/>
          <w:bCs/>
          <w:kern w:val="24"/>
        </w:rPr>
        <w:t xml:space="preserve"> daňové povinnosti:</w:t>
      </w:r>
    </w:p>
    <w:p w:rsidR="00DF3751" w:rsidRDefault="00DF3751" w:rsidP="0092060D">
      <w:pPr>
        <w:numPr>
          <w:ilvl w:val="0"/>
          <w:numId w:val="8"/>
        </w:numPr>
        <w:spacing w:after="60" w:line="240" w:lineRule="auto"/>
        <w:rPr>
          <w:rFonts w:ascii="Calibri" w:hAnsi="Calibri" w:cs="Calibri"/>
          <w:color w:val="auto"/>
          <w:sz w:val="22"/>
          <w:szCs w:val="22"/>
        </w:rPr>
      </w:pPr>
      <w:r w:rsidRPr="008D24F8">
        <w:rPr>
          <w:kern w:val="24"/>
        </w:rPr>
        <w:t>Pozemky určené k zastavění zdanitelnými stavbami, osvobozenými od daně ze staveb a</w:t>
      </w:r>
      <w:r w:rsidR="000141A8">
        <w:rPr>
          <w:kern w:val="24"/>
        </w:rPr>
        <w:t> </w:t>
      </w:r>
      <w:r w:rsidRPr="008D24F8">
        <w:rPr>
          <w:kern w:val="24"/>
        </w:rPr>
        <w:t xml:space="preserve"> jednotek podle § 9 odst. 1 písm. i) a j) zákona budou od 1. 1. 2014 (na rozdíl od stávající právní úpravy) po dobu, než bude stavba dokončena, zdaňovány jako</w:t>
      </w:r>
      <w:r w:rsidRPr="00A012F3">
        <w:rPr>
          <w:b/>
          <w:bCs/>
          <w:kern w:val="24"/>
        </w:rPr>
        <w:t xml:space="preserve"> pozemky stavební. </w:t>
      </w:r>
      <w:r w:rsidRPr="008D24F8">
        <w:rPr>
          <w:kern w:val="24"/>
        </w:rPr>
        <w:t xml:space="preserve">Jedná se o pozemky určené k zastavění stavbami, které doposud nebyly předmětem daně ze staveb, jako jsou </w:t>
      </w:r>
      <w:r w:rsidRPr="00A012F3">
        <w:rPr>
          <w:b/>
          <w:bCs/>
          <w:kern w:val="24"/>
        </w:rPr>
        <w:t xml:space="preserve">stavby vodáren, úpraven vody, kanalizačních zařízení, rozvodných zařízení, nebo stavby pro veřejnou dopravu. </w:t>
      </w:r>
      <w:r w:rsidRPr="008D24F8">
        <w:rPr>
          <w:kern w:val="24"/>
        </w:rPr>
        <w:t xml:space="preserve">Jedná se </w:t>
      </w:r>
      <w:r>
        <w:rPr>
          <w:kern w:val="24"/>
        </w:rPr>
        <w:t xml:space="preserve">zde </w:t>
      </w:r>
      <w:r w:rsidRPr="008D24F8">
        <w:rPr>
          <w:kern w:val="24"/>
        </w:rPr>
        <w:t>o stavby</w:t>
      </w:r>
      <w:r w:rsidR="0067523A">
        <w:rPr>
          <w:kern w:val="24"/>
        </w:rPr>
        <w:t xml:space="preserve"> </w:t>
      </w:r>
      <w:r w:rsidRPr="008D24F8">
        <w:rPr>
          <w:kern w:val="24"/>
        </w:rPr>
        <w:t>zdanitelné daní z nemovitých věcí, tj. budovy nebo vybrané inženýrské stavby. Nebude-li takováto stavba dokončena v roce 2013, poplatník je povinen uvedenou změnu zohlednit v daňovém přiznání na rok 2014.</w:t>
      </w:r>
    </w:p>
    <w:p w:rsidR="00DF3751" w:rsidRPr="002E3789" w:rsidRDefault="00DF3751" w:rsidP="0092060D">
      <w:pPr>
        <w:numPr>
          <w:ilvl w:val="0"/>
          <w:numId w:val="8"/>
        </w:numPr>
        <w:spacing w:after="60" w:line="240" w:lineRule="auto"/>
        <w:rPr>
          <w:rFonts w:ascii="Calibri" w:hAnsi="Calibri" w:cs="Calibri"/>
          <w:color w:val="auto"/>
          <w:sz w:val="22"/>
          <w:szCs w:val="22"/>
        </w:rPr>
      </w:pPr>
      <w:r w:rsidRPr="00CB0031">
        <w:rPr>
          <w:color w:val="auto"/>
        </w:rPr>
        <w:t xml:space="preserve">Je-li vlastníkem pozemku pod bytovým domem rozděleným na jednotky subjekt, </w:t>
      </w:r>
      <w:proofErr w:type="gramStart"/>
      <w:r w:rsidRPr="00CB0031">
        <w:rPr>
          <w:color w:val="auto"/>
        </w:rPr>
        <w:t>který  není</w:t>
      </w:r>
      <w:proofErr w:type="gramEnd"/>
      <w:r w:rsidRPr="00CB0031">
        <w:rPr>
          <w:color w:val="auto"/>
        </w:rPr>
        <w:t xml:space="preserve"> vlastníkem žádné z</w:t>
      </w:r>
      <w:r w:rsidRPr="00A8390F">
        <w:rPr>
          <w:color w:val="auto"/>
        </w:rPr>
        <w:t> </w:t>
      </w:r>
      <w:r w:rsidRPr="00CB0031">
        <w:rPr>
          <w:color w:val="auto"/>
        </w:rPr>
        <w:t xml:space="preserve">jednotek, je tento </w:t>
      </w:r>
      <w:r w:rsidRPr="00A8390F">
        <w:rPr>
          <w:color w:val="auto"/>
        </w:rPr>
        <w:t>pozemek předmětem daně z pozemků a poplatníkem daně  je vlastník pozemku  bez ohledu na to, že je pozemek zastavěn stavbou. Tento p</w:t>
      </w:r>
      <w:r w:rsidRPr="00A8390F">
        <w:t>oplatník je povinen na zdaňovací období 2014 podat daňové přiznání. Výjimkou je případ, kdy je</w:t>
      </w:r>
      <w:r>
        <w:t xml:space="preserve"> tento pozemek ve vlastnictví státu nebo ve vlastnictví té obce, na jejímž území se nachází, neboť pak je od daně osvobozen a není povinnost toto osvobození uplatnit v daňovém přiznání. </w:t>
      </w:r>
    </w:p>
    <w:p w:rsidR="00DF3751" w:rsidRPr="00A012F3" w:rsidRDefault="00DF3751" w:rsidP="0092060D">
      <w:pPr>
        <w:numPr>
          <w:ilvl w:val="0"/>
          <w:numId w:val="4"/>
        </w:numPr>
        <w:tabs>
          <w:tab w:val="clear" w:pos="-132"/>
          <w:tab w:val="num" w:pos="426"/>
          <w:tab w:val="num" w:pos="567"/>
        </w:tabs>
        <w:spacing w:after="60" w:line="240" w:lineRule="auto"/>
        <w:ind w:firstLine="132"/>
        <w:rPr>
          <w:b/>
          <w:bCs/>
        </w:rPr>
      </w:pPr>
      <w:r w:rsidRPr="00FF6010">
        <w:rPr>
          <w:u w:val="single"/>
        </w:rPr>
        <w:t>Z</w:t>
      </w:r>
      <w:r w:rsidRPr="00FF6010">
        <w:rPr>
          <w:b/>
          <w:bCs/>
          <w:u w:val="single"/>
        </w:rPr>
        <w:t>měna osoby</w:t>
      </w:r>
      <w:r w:rsidRPr="00A012F3">
        <w:rPr>
          <w:b/>
          <w:bCs/>
        </w:rPr>
        <w:t xml:space="preserve"> poplatníka:</w:t>
      </w:r>
    </w:p>
    <w:p w:rsidR="00DF3751" w:rsidRPr="00FF6010" w:rsidRDefault="00DF3751" w:rsidP="0092060D">
      <w:pPr>
        <w:pStyle w:val="Odstavecseseznamem"/>
        <w:widowControl/>
        <w:numPr>
          <w:ilvl w:val="0"/>
          <w:numId w:val="8"/>
        </w:numPr>
        <w:adjustRightInd/>
        <w:spacing w:after="60" w:line="240" w:lineRule="auto"/>
        <w:textAlignment w:val="auto"/>
      </w:pPr>
      <w:r w:rsidRPr="00FF6010">
        <w:rPr>
          <w:kern w:val="24"/>
        </w:rPr>
        <w:t>Zatímco</w:t>
      </w:r>
      <w:r w:rsidRPr="00FF6010">
        <w:t xml:space="preserve"> do roku 2013 byly poplatníky daně za nemovité věci, tvořící jmění podílových  fondů či fondů obhospodařovaných penzijní společností, investiční či penzijní společnosti obhospodařující tyto fondy, jsou od </w:t>
      </w:r>
      <w:proofErr w:type="gramStart"/>
      <w:r w:rsidRPr="00FF6010">
        <w:t>1.1.2014</w:t>
      </w:r>
      <w:proofErr w:type="gramEnd"/>
      <w:r w:rsidRPr="00FF6010">
        <w:t xml:space="preserve"> poplatníky daně přímo tyto fondy, jimž proto vzniká povinnost podat daňové přiznání na rok 2014.</w:t>
      </w:r>
    </w:p>
    <w:p w:rsidR="00DF3751" w:rsidRPr="00A012F3" w:rsidRDefault="00DF3751" w:rsidP="0092060D">
      <w:pPr>
        <w:widowControl/>
        <w:adjustRightInd/>
        <w:spacing w:after="60" w:line="240" w:lineRule="auto"/>
        <w:ind w:left="567"/>
        <w:jc w:val="left"/>
        <w:textAlignment w:val="auto"/>
        <w:rPr>
          <w:b/>
          <w:bCs/>
        </w:rPr>
      </w:pPr>
      <w:r>
        <w:rPr>
          <w:b/>
          <w:bCs/>
        </w:rPr>
        <w:lastRenderedPageBreak/>
        <w:t>Poplatníkem daně je tedy nově:</w:t>
      </w:r>
    </w:p>
    <w:p w:rsidR="00DF3751" w:rsidRPr="00D21009" w:rsidRDefault="00DF3751" w:rsidP="0092060D">
      <w:pPr>
        <w:pStyle w:val="Odstavecseseznamem"/>
        <w:numPr>
          <w:ilvl w:val="0"/>
          <w:numId w:val="14"/>
        </w:numPr>
        <w:tabs>
          <w:tab w:val="left" w:pos="993"/>
        </w:tabs>
        <w:spacing w:after="60" w:line="240" w:lineRule="auto"/>
        <w:rPr>
          <w:b/>
          <w:bCs/>
        </w:rPr>
      </w:pPr>
      <w:r w:rsidRPr="00D21009">
        <w:rPr>
          <w:b/>
          <w:bCs/>
        </w:rPr>
        <w:t>podílový fond</w:t>
      </w:r>
    </w:p>
    <w:p w:rsidR="00DF3751" w:rsidRPr="00CE0C57" w:rsidRDefault="00DF3751" w:rsidP="0092060D">
      <w:pPr>
        <w:pStyle w:val="Odstavecseseznamem"/>
        <w:widowControl/>
        <w:numPr>
          <w:ilvl w:val="0"/>
          <w:numId w:val="14"/>
        </w:numPr>
        <w:tabs>
          <w:tab w:val="left" w:pos="993"/>
        </w:tabs>
        <w:adjustRightInd/>
        <w:spacing w:after="60" w:line="240" w:lineRule="auto"/>
        <w:jc w:val="left"/>
        <w:textAlignment w:val="auto"/>
        <w:rPr>
          <w:b/>
          <w:bCs/>
        </w:rPr>
      </w:pPr>
      <w:r w:rsidRPr="00CE0C57">
        <w:rPr>
          <w:b/>
          <w:bCs/>
        </w:rPr>
        <w:t>fond obhospodařovaný penzijní společností</w:t>
      </w:r>
      <w:r>
        <w:rPr>
          <w:b/>
          <w:bCs/>
        </w:rPr>
        <w:t>,</w:t>
      </w:r>
    </w:p>
    <w:p w:rsidR="00DF3751" w:rsidRDefault="00DF3751" w:rsidP="0092060D">
      <w:pPr>
        <w:spacing w:after="60" w:line="240" w:lineRule="auto"/>
        <w:ind w:left="284"/>
      </w:pPr>
      <w:r w:rsidRPr="00FF6010">
        <w:t xml:space="preserve">samozřejmě pouze za nemovité věci, tvořící jmění těchto fondů. Za nemovité věci, které jsou ve vlastnictví investičních či penzijních společností, které fondy obhospodařují, jsou </w:t>
      </w:r>
      <w:proofErr w:type="gramStart"/>
      <w:r w:rsidRPr="00FF6010">
        <w:t>poplatníky  nadále</w:t>
      </w:r>
      <w:proofErr w:type="gramEnd"/>
      <w:r w:rsidRPr="00FF6010">
        <w:t xml:space="preserve"> tyto společnosti.</w:t>
      </w:r>
    </w:p>
    <w:p w:rsidR="00DF3751" w:rsidRPr="00FF6010" w:rsidRDefault="00DF3751" w:rsidP="0092060D">
      <w:pPr>
        <w:spacing w:after="60" w:line="240" w:lineRule="auto"/>
        <w:ind w:left="284"/>
      </w:pPr>
    </w:p>
    <w:p w:rsidR="00DF3751" w:rsidRPr="00FC5FE4" w:rsidRDefault="00DF3751" w:rsidP="0092060D">
      <w:pPr>
        <w:pStyle w:val="Odstavecseseznamem"/>
        <w:numPr>
          <w:ilvl w:val="0"/>
          <w:numId w:val="13"/>
        </w:numPr>
        <w:spacing w:after="60" w:line="240" w:lineRule="auto"/>
        <w:ind w:left="0" w:hanging="284"/>
        <w:rPr>
          <w:b/>
          <w:bCs/>
          <w:i/>
          <w:iCs/>
          <w:kern w:val="24"/>
          <w:sz w:val="28"/>
          <w:szCs w:val="28"/>
        </w:rPr>
      </w:pPr>
      <w:r w:rsidRPr="00FC5FE4">
        <w:rPr>
          <w:b/>
          <w:bCs/>
          <w:i/>
          <w:iCs/>
          <w:kern w:val="24"/>
          <w:sz w:val="28"/>
          <w:szCs w:val="28"/>
        </w:rPr>
        <w:t xml:space="preserve">Změny ovlivňující výši daně, u nichž </w:t>
      </w:r>
      <w:r w:rsidRPr="00FC5FE4">
        <w:rPr>
          <w:b/>
          <w:bCs/>
          <w:i/>
          <w:iCs/>
          <w:kern w:val="24"/>
          <w:sz w:val="28"/>
          <w:szCs w:val="28"/>
          <w:u w:val="single"/>
        </w:rPr>
        <w:t>nemá</w:t>
      </w:r>
      <w:r w:rsidRPr="00FC5FE4">
        <w:rPr>
          <w:b/>
          <w:bCs/>
          <w:i/>
          <w:iCs/>
          <w:kern w:val="24"/>
          <w:sz w:val="28"/>
          <w:szCs w:val="28"/>
        </w:rPr>
        <w:t xml:space="preserve"> poplatník povinnost podat daňové přiznání za rok 2014:</w:t>
      </w:r>
    </w:p>
    <w:p w:rsidR="00DF3751" w:rsidRPr="00D21009" w:rsidRDefault="00DF3751" w:rsidP="0092060D">
      <w:pPr>
        <w:numPr>
          <w:ilvl w:val="0"/>
          <w:numId w:val="8"/>
        </w:numPr>
        <w:spacing w:after="60" w:line="240" w:lineRule="auto"/>
      </w:pPr>
      <w:r w:rsidRPr="00D21009">
        <w:t xml:space="preserve">Poplatníkovi, který vlastní kromě bytu/nebytového prostoru a podílu na společných </w:t>
      </w:r>
      <w:r w:rsidRPr="00D21009">
        <w:rPr>
          <w:kern w:val="24"/>
        </w:rPr>
        <w:t>částech</w:t>
      </w:r>
      <w:r w:rsidRPr="00D21009">
        <w:t xml:space="preserve"> domu i </w:t>
      </w:r>
      <w:r w:rsidRPr="00A012F3">
        <w:rPr>
          <w:b/>
          <w:bCs/>
        </w:rPr>
        <w:t>podíl na společném pozemku přesahujícím zastavěnou plochu domu</w:t>
      </w:r>
      <w:r w:rsidR="00AC4EB5">
        <w:rPr>
          <w:b/>
          <w:bCs/>
        </w:rPr>
        <w:t xml:space="preserve"> </w:t>
      </w:r>
      <w:r w:rsidRPr="00D21009">
        <w:t>nebo na pozemku, který je užíván spolu s jednotkou a je ve spoluvlastnictví všech vlastníků jednotek v domě, se daň nepatrně zvýší. Stane se tak v důsledku použití</w:t>
      </w:r>
      <w:r w:rsidRPr="00A012F3">
        <w:rPr>
          <w:b/>
          <w:bCs/>
        </w:rPr>
        <w:t xml:space="preserve"> vyššího koeficientu 1,22 </w:t>
      </w:r>
      <w:r w:rsidRPr="00D21009">
        <w:t>při stanovení upravené podlahové plochy pro základ daně ze staveb a jednotek, zohledňujícího existenci tohoto společného pozemku, který již nebude předmětem daně z pozemků.</w:t>
      </w:r>
      <w:r w:rsidR="007D4877">
        <w:t> </w:t>
      </w:r>
      <w:r w:rsidRPr="00D21009">
        <w:t>Přepočet daně provede správce daně</w:t>
      </w:r>
      <w:r w:rsidRPr="00A012F3">
        <w:rPr>
          <w:b/>
          <w:bCs/>
        </w:rPr>
        <w:t xml:space="preserve"> automatizovanou konverzí, </w:t>
      </w:r>
      <w:r w:rsidRPr="00D21009">
        <w:t>daň vyměří z moci úřední a novou výši daně poplatníkovi sdělí rozhodnutím, zpravidla hromadným předpisným seznamem, případně platebním výměrem. Nedojde-li tedy u poplatníka k jiným změnám, nevzniká mu povinnost podat daňové přiznání na rok 2014 za již dříve přiznané jednotky.</w:t>
      </w:r>
    </w:p>
    <w:p w:rsidR="00DF3751" w:rsidRPr="00D21009" w:rsidRDefault="00DF3751" w:rsidP="0092060D">
      <w:pPr>
        <w:numPr>
          <w:ilvl w:val="0"/>
          <w:numId w:val="10"/>
        </w:numPr>
        <w:spacing w:after="60" w:line="240" w:lineRule="auto"/>
        <w:rPr>
          <w:b/>
          <w:bCs/>
        </w:rPr>
      </w:pPr>
      <w:r>
        <w:rPr>
          <w:b/>
          <w:bCs/>
        </w:rPr>
        <w:t>P</w:t>
      </w:r>
      <w:r w:rsidRPr="00D21009">
        <w:rPr>
          <w:b/>
          <w:bCs/>
        </w:rPr>
        <w:t>oplatníkem se stává také</w:t>
      </w:r>
      <w:r w:rsidR="009B765E">
        <w:rPr>
          <w:b/>
          <w:bCs/>
        </w:rPr>
        <w:t xml:space="preserve"> </w:t>
      </w:r>
      <w:r w:rsidRPr="00CE0C57">
        <w:t>(rozšíření okruhu poplatníkův souladu s novým občanským zákoníkem</w:t>
      </w:r>
      <w:r>
        <w:t>):</w:t>
      </w:r>
    </w:p>
    <w:p w:rsidR="00DF3751" w:rsidRPr="00CE0C57" w:rsidRDefault="00DF3751" w:rsidP="0092060D">
      <w:pPr>
        <w:pStyle w:val="Odstavecseseznamem"/>
        <w:numPr>
          <w:ilvl w:val="1"/>
          <w:numId w:val="8"/>
        </w:numPr>
        <w:tabs>
          <w:tab w:val="clear" w:pos="1211"/>
          <w:tab w:val="num" w:pos="993"/>
        </w:tabs>
        <w:spacing w:after="60" w:line="240" w:lineRule="auto"/>
        <w:ind w:hanging="644"/>
        <w:rPr>
          <w:b/>
          <w:bCs/>
        </w:rPr>
      </w:pPr>
      <w:r>
        <w:rPr>
          <w:b/>
          <w:bCs/>
        </w:rPr>
        <w:t>p</w:t>
      </w:r>
      <w:r w:rsidRPr="00CE0C57">
        <w:rPr>
          <w:b/>
          <w:bCs/>
        </w:rPr>
        <w:t>achtýř</w:t>
      </w:r>
    </w:p>
    <w:p w:rsidR="00DF3751" w:rsidRPr="003218A2" w:rsidRDefault="00DF3751" w:rsidP="0092060D">
      <w:pPr>
        <w:pStyle w:val="Odstavecseseznamem"/>
        <w:numPr>
          <w:ilvl w:val="1"/>
          <w:numId w:val="8"/>
        </w:numPr>
        <w:tabs>
          <w:tab w:val="clear" w:pos="1211"/>
          <w:tab w:val="num" w:pos="993"/>
        </w:tabs>
        <w:spacing w:after="60" w:line="240" w:lineRule="auto"/>
        <w:ind w:left="993" w:hanging="426"/>
      </w:pPr>
      <w:r w:rsidRPr="00CE0C57">
        <w:rPr>
          <w:b/>
          <w:bCs/>
        </w:rPr>
        <w:t xml:space="preserve">stavebník u pozemků zatížených právem stavby </w:t>
      </w:r>
      <w:r w:rsidRPr="003218A2">
        <w:t>(tj. ten, v jehož prospěch bylo právo stavby zřízeno)</w:t>
      </w:r>
    </w:p>
    <w:p w:rsidR="00DF3751" w:rsidRPr="00CE0C57" w:rsidRDefault="00DF3751" w:rsidP="0092060D">
      <w:pPr>
        <w:pStyle w:val="Odstavecseseznamem"/>
        <w:numPr>
          <w:ilvl w:val="1"/>
          <w:numId w:val="8"/>
        </w:numPr>
        <w:tabs>
          <w:tab w:val="clear" w:pos="1211"/>
          <w:tab w:val="num" w:pos="993"/>
        </w:tabs>
        <w:spacing w:after="60" w:line="240" w:lineRule="auto"/>
        <w:ind w:hanging="644"/>
        <w:rPr>
          <w:b/>
          <w:bCs/>
        </w:rPr>
      </w:pPr>
      <w:proofErr w:type="spellStart"/>
      <w:r w:rsidRPr="00CE0C57">
        <w:rPr>
          <w:b/>
          <w:bCs/>
        </w:rPr>
        <w:t>svěřenský</w:t>
      </w:r>
      <w:proofErr w:type="spellEnd"/>
      <w:r w:rsidRPr="00CE0C57">
        <w:rPr>
          <w:b/>
          <w:bCs/>
        </w:rPr>
        <w:t xml:space="preserve"> fond,</w:t>
      </w:r>
    </w:p>
    <w:p w:rsidR="00DF3751" w:rsidRPr="00CE0C57" w:rsidRDefault="00DF3751" w:rsidP="00DA2343">
      <w:pPr>
        <w:tabs>
          <w:tab w:val="left" w:pos="567"/>
        </w:tabs>
        <w:spacing w:after="60" w:line="240" w:lineRule="auto"/>
        <w:ind w:left="993"/>
        <w:rPr>
          <w:b/>
          <w:bCs/>
        </w:rPr>
      </w:pPr>
      <w:r w:rsidRPr="00CE0C57">
        <w:t>ale protože takový subjekt nebude existovat</w:t>
      </w:r>
      <w:r w:rsidR="00EC60C1">
        <w:t xml:space="preserve"> </w:t>
      </w:r>
      <w:proofErr w:type="gramStart"/>
      <w:r w:rsidR="00EC60C1" w:rsidRPr="00FF6010">
        <w:t>1.1.2014</w:t>
      </w:r>
      <w:proofErr w:type="gramEnd"/>
      <w:r w:rsidRPr="00CE0C57">
        <w:t>, bude existence takového subjektu</w:t>
      </w:r>
      <w:r w:rsidR="00444A2A">
        <w:t> </w:t>
      </w:r>
      <w:r w:rsidRPr="00CE0C57">
        <w:t>ovlivňovat daňovou povinnost</w:t>
      </w:r>
      <w:r w:rsidR="00444A2A">
        <w:t> </w:t>
      </w:r>
      <w:r w:rsidRPr="00CE0C57">
        <w:rPr>
          <w:b/>
          <w:bCs/>
          <w:u w:val="single"/>
        </w:rPr>
        <w:t>nejdříve na zdaňovací období 2015</w:t>
      </w:r>
      <w:r w:rsidRPr="00CE0C57">
        <w:t>.</w:t>
      </w:r>
    </w:p>
    <w:p w:rsidR="00DF3751" w:rsidRPr="007F5F81" w:rsidRDefault="00DF3751" w:rsidP="0092060D">
      <w:pPr>
        <w:numPr>
          <w:ilvl w:val="0"/>
          <w:numId w:val="8"/>
        </w:numPr>
        <w:spacing w:after="60" w:line="240" w:lineRule="auto"/>
        <w:ind w:left="709" w:hanging="425"/>
      </w:pPr>
      <w:r>
        <w:rPr>
          <w:b/>
          <w:bCs/>
        </w:rPr>
        <w:t>Z</w:t>
      </w:r>
      <w:r w:rsidRPr="00A012F3">
        <w:rPr>
          <w:b/>
          <w:bCs/>
        </w:rPr>
        <w:t>měna režimu v případě nezvolení společného zástupce u nemovitých věcí v podílovém spoluvlastnictví</w:t>
      </w:r>
      <w:r w:rsidR="009D1D96">
        <w:rPr>
          <w:b/>
          <w:bCs/>
        </w:rPr>
        <w:t xml:space="preserve"> </w:t>
      </w:r>
      <w:r w:rsidRPr="00A012F3">
        <w:rPr>
          <w:b/>
          <w:bCs/>
        </w:rPr>
        <w:t xml:space="preserve">– </w:t>
      </w:r>
      <w:r w:rsidRPr="00CE0C57">
        <w:t>správce daně vyměří spoluvlastníkům</w:t>
      </w:r>
      <w:r w:rsidR="009D1D96">
        <w:t xml:space="preserve"> </w:t>
      </w:r>
      <w:r w:rsidRPr="00CE0C57">
        <w:t>daň za jejich spoluvlastnické podíly z moci úřední.</w:t>
      </w:r>
      <w:bookmarkStart w:id="0" w:name="_GoBack"/>
      <w:bookmarkEnd w:id="0"/>
    </w:p>
    <w:p w:rsidR="00DF3751" w:rsidRPr="00CE0C57" w:rsidRDefault="00DF3751" w:rsidP="0092060D">
      <w:pPr>
        <w:spacing w:after="60" w:line="240" w:lineRule="auto"/>
        <w:ind w:left="284"/>
      </w:pPr>
    </w:p>
    <w:p w:rsidR="00DF3751" w:rsidRPr="00FC5FE4" w:rsidRDefault="00DF3751" w:rsidP="0092060D">
      <w:pPr>
        <w:spacing w:after="60" w:line="240" w:lineRule="auto"/>
        <w:ind w:left="284" w:hanging="568"/>
        <w:rPr>
          <w:b/>
          <w:bCs/>
          <w:i/>
          <w:iCs/>
          <w:kern w:val="24"/>
          <w:sz w:val="28"/>
          <w:szCs w:val="28"/>
        </w:rPr>
      </w:pPr>
      <w:r w:rsidRPr="00FC5FE4">
        <w:rPr>
          <w:b/>
          <w:bCs/>
          <w:i/>
          <w:iCs/>
          <w:kern w:val="24"/>
          <w:sz w:val="28"/>
          <w:szCs w:val="28"/>
        </w:rPr>
        <w:t>3. Změny formální, bez dopadu na výši daně, které vyplývají z nových pojmů občanského zákoníku:</w:t>
      </w:r>
    </w:p>
    <w:p w:rsidR="00DF3751" w:rsidRPr="00CE0C57" w:rsidRDefault="00DF3751" w:rsidP="0092060D">
      <w:pPr>
        <w:numPr>
          <w:ilvl w:val="0"/>
          <w:numId w:val="9"/>
        </w:numPr>
        <w:spacing w:after="60" w:line="240" w:lineRule="auto"/>
        <w:ind w:left="567"/>
      </w:pPr>
      <w:r w:rsidRPr="00A012F3">
        <w:rPr>
          <w:b/>
          <w:bCs/>
        </w:rPr>
        <w:t xml:space="preserve">změna názvu daně </w:t>
      </w:r>
      <w:r w:rsidRPr="00CE0C57">
        <w:t>na daň z nemovitých věcí, která se skládá z daně z pozemků a z daně ze staveb a jednotek</w:t>
      </w:r>
    </w:p>
    <w:p w:rsidR="00DF3751" w:rsidRPr="00A012F3" w:rsidRDefault="00DF3751" w:rsidP="0092060D">
      <w:pPr>
        <w:numPr>
          <w:ilvl w:val="0"/>
          <w:numId w:val="9"/>
        </w:numPr>
        <w:spacing w:after="60" w:line="240" w:lineRule="auto"/>
        <w:ind w:left="567"/>
        <w:rPr>
          <w:b/>
          <w:bCs/>
        </w:rPr>
      </w:pPr>
      <w:r w:rsidRPr="00A012F3">
        <w:rPr>
          <w:b/>
          <w:bCs/>
        </w:rPr>
        <w:t xml:space="preserve">změny názvů předmětů daně ze staveb a jednotek: </w:t>
      </w:r>
    </w:p>
    <w:p w:rsidR="00DF3751" w:rsidRPr="00A012F3" w:rsidRDefault="00DF3751" w:rsidP="0092060D">
      <w:pPr>
        <w:numPr>
          <w:ilvl w:val="1"/>
          <w:numId w:val="9"/>
        </w:numPr>
        <w:spacing w:after="60" w:line="240" w:lineRule="auto"/>
        <w:ind w:left="993"/>
        <w:rPr>
          <w:b/>
          <w:bCs/>
        </w:rPr>
      </w:pPr>
      <w:r w:rsidRPr="00A012F3">
        <w:rPr>
          <w:b/>
          <w:bCs/>
        </w:rPr>
        <w:t xml:space="preserve">zdanitelná stavba, </w:t>
      </w:r>
      <w:r w:rsidRPr="00CE0C57">
        <w:t>tj. budova nebo vybraná inženýrská stavba,</w:t>
      </w:r>
    </w:p>
    <w:p w:rsidR="00DF3751" w:rsidRPr="00CE0C57" w:rsidRDefault="00DF3751" w:rsidP="0092060D">
      <w:pPr>
        <w:numPr>
          <w:ilvl w:val="1"/>
          <w:numId w:val="9"/>
        </w:numPr>
        <w:spacing w:after="60" w:line="240" w:lineRule="auto"/>
        <w:ind w:left="993"/>
      </w:pPr>
      <w:r w:rsidRPr="00A012F3">
        <w:rPr>
          <w:b/>
          <w:bCs/>
        </w:rPr>
        <w:t xml:space="preserve">jednotka </w:t>
      </w:r>
      <w:r w:rsidRPr="00CE0C57">
        <w:t>(v daňovém přiznání se uvádí jako byt nebo nebytové jednotky členěné podle využití)</w:t>
      </w:r>
    </w:p>
    <w:p w:rsidR="00DF3751" w:rsidRPr="007F5F81" w:rsidRDefault="00DF3751" w:rsidP="0092060D">
      <w:pPr>
        <w:numPr>
          <w:ilvl w:val="0"/>
          <w:numId w:val="9"/>
        </w:numPr>
        <w:spacing w:after="60" w:line="240" w:lineRule="auto"/>
        <w:ind w:left="567" w:hanging="357"/>
        <w:rPr>
          <w:b/>
          <w:bCs/>
        </w:rPr>
      </w:pPr>
      <w:r w:rsidRPr="00A012F3">
        <w:rPr>
          <w:b/>
          <w:bCs/>
        </w:rPr>
        <w:t xml:space="preserve">změny označení a logického uspořádání </w:t>
      </w:r>
      <w:r w:rsidRPr="00CE0C57">
        <w:t>některých právních důvodů osvobození, zpravidla bez dopadu na trvající, již dříve poskytnutá osvobození.</w:t>
      </w:r>
    </w:p>
    <w:p w:rsidR="00DF3751" w:rsidRDefault="00DF3751" w:rsidP="0092060D">
      <w:pPr>
        <w:spacing w:after="60" w:line="240" w:lineRule="auto"/>
        <w:rPr>
          <w:b/>
          <w:bCs/>
        </w:rPr>
      </w:pPr>
    </w:p>
    <w:p w:rsidR="00DF3751" w:rsidRPr="00FC5FE4" w:rsidRDefault="00DF3751" w:rsidP="0092060D">
      <w:pPr>
        <w:pStyle w:val="Odstavecseseznamem"/>
        <w:numPr>
          <w:ilvl w:val="0"/>
          <w:numId w:val="15"/>
        </w:numPr>
        <w:tabs>
          <w:tab w:val="left" w:pos="567"/>
        </w:tabs>
        <w:spacing w:after="60" w:line="240" w:lineRule="auto"/>
        <w:ind w:left="142" w:hanging="426"/>
      </w:pPr>
      <w:r w:rsidRPr="00FC5FE4">
        <w:rPr>
          <w:b/>
          <w:bCs/>
          <w:i/>
          <w:iCs/>
          <w:sz w:val="28"/>
          <w:szCs w:val="28"/>
        </w:rPr>
        <w:t>Změna režimu v případech úmrtí poplatníka ve lhůtě pro podání daňového přiznání</w:t>
      </w:r>
      <w:r w:rsidRPr="00FC5FE4">
        <w:rPr>
          <w:b/>
          <w:bCs/>
          <w:i/>
          <w:iCs/>
        </w:rPr>
        <w:t xml:space="preserve"> – </w:t>
      </w:r>
      <w:r w:rsidRPr="00FC5FE4">
        <w:t>daňové přiznání za zemřelého</w:t>
      </w:r>
      <w:r>
        <w:t>, byl-li povinen jej podat a tuto povinnost nesplnil,</w:t>
      </w:r>
      <w:r w:rsidRPr="00FC5FE4">
        <w:t xml:space="preserve"> podává osoba spravující pozůstalost.</w:t>
      </w:r>
    </w:p>
    <w:sectPr w:rsidR="00DF3751" w:rsidRPr="00FC5FE4" w:rsidSect="0092060D">
      <w:footerReference w:type="default" r:id="rId8"/>
      <w:headerReference w:type="first" r:id="rId9"/>
      <w:type w:val="continuous"/>
      <w:pgSz w:w="11905" w:h="16837"/>
      <w:pgMar w:top="1276" w:right="990" w:bottom="851" w:left="1417" w:header="0" w:footer="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BC" w:rsidRDefault="007003BC">
      <w:r>
        <w:separator/>
      </w:r>
    </w:p>
  </w:endnote>
  <w:endnote w:type="continuationSeparator" w:id="0">
    <w:p w:rsidR="007003BC" w:rsidRDefault="0070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51" w:rsidRDefault="00DF3751">
    <w:pPr>
      <w:pStyle w:val="ZhlavneboZpat0"/>
      <w:framePr w:h="216" w:wrap="none" w:vAnchor="text" w:hAnchor="page" w:x="10969" w:y="-666"/>
      <w:shd w:val="clear" w:color="auto" w:fill="auto"/>
    </w:pPr>
    <w:r>
      <w:rPr>
        <w:rStyle w:val="ZhlavneboZpat115pt"/>
      </w:rPr>
      <w:t>2</w:t>
    </w:r>
  </w:p>
  <w:p w:rsidR="00DF3751" w:rsidRDefault="00DF375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BC" w:rsidRDefault="007003BC"/>
  </w:footnote>
  <w:footnote w:type="continuationSeparator" w:id="0">
    <w:p w:rsidR="007003BC" w:rsidRDefault="007003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51" w:rsidRDefault="00DF3751">
    <w:pPr>
      <w:pStyle w:val="Zhlav"/>
      <w:rPr>
        <w:color w:val="auto"/>
      </w:rPr>
    </w:pPr>
  </w:p>
  <w:p w:rsidR="00DF3751" w:rsidRPr="00D0107C" w:rsidRDefault="00DF3751" w:rsidP="00D0107C">
    <w:pPr>
      <w:pStyle w:val="Zhlav"/>
      <w:ind w:firstLine="3402"/>
      <w:jc w:val="right"/>
      <w:rPr>
        <w:i/>
        <w:iCs/>
      </w:rPr>
    </w:pPr>
    <w:r w:rsidRPr="00D0107C">
      <w:rPr>
        <w:rFonts w:ascii="Arial Unicode MS CE" w:hAnsi="Arial Unicode MS CE" w:cs="Arial Unicode MS CE"/>
        <w:i/>
        <w:iCs/>
        <w:color w:val="auto"/>
      </w:rPr>
      <w:t>Informační leták pro poplatníky daně z nemovitých věcí</w:t>
    </w:r>
  </w:p>
  <w:p w:rsidR="00DF3751" w:rsidRDefault="00DF37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ED5"/>
    <w:multiLevelType w:val="hybridMultilevel"/>
    <w:tmpl w:val="01268AC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</w:rPr>
    </w:lvl>
    <w:lvl w:ilvl="1" w:tplc="60F401D8">
      <w:start w:val="2"/>
      <w:numFmt w:val="bullet"/>
      <w:lvlText w:val="-"/>
      <w:lvlJc w:val="left"/>
      <w:pPr>
        <w:tabs>
          <w:tab w:val="num" w:pos="1844"/>
        </w:tabs>
        <w:ind w:left="1844" w:hanging="48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04573759"/>
    <w:multiLevelType w:val="hybridMultilevel"/>
    <w:tmpl w:val="8D1E2420"/>
    <w:lvl w:ilvl="0" w:tplc="E79AA02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79B7FC8"/>
    <w:multiLevelType w:val="hybridMultilevel"/>
    <w:tmpl w:val="F872C976"/>
    <w:lvl w:ilvl="0" w:tplc="2D9E8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62F8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7C4066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2CA363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5720D1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EA422E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B5C6B0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926207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4A2CFD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BFF73FC"/>
    <w:multiLevelType w:val="hybridMultilevel"/>
    <w:tmpl w:val="0654132C"/>
    <w:lvl w:ilvl="0" w:tplc="30661BA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818A0"/>
    <w:multiLevelType w:val="multilevel"/>
    <w:tmpl w:val="BF84D9E8"/>
    <w:lvl w:ilvl="0">
      <w:start w:val="1"/>
      <w:numFmt w:val="decimal"/>
      <w:lvlText w:val="%1."/>
      <w:lvlJc w:val="left"/>
      <w:rPr>
        <w:rFonts w:ascii="Arial" w:eastAsia="Times New Roman" w:hAnsi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ED0D4B"/>
    <w:multiLevelType w:val="hybridMultilevel"/>
    <w:tmpl w:val="E5FA3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55AC5"/>
    <w:multiLevelType w:val="hybridMultilevel"/>
    <w:tmpl w:val="281ACD82"/>
    <w:lvl w:ilvl="0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4262F8F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2" w:tplc="17C4066A">
      <w:start w:val="1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</w:rPr>
    </w:lvl>
    <w:lvl w:ilvl="3" w:tplc="72CA3634">
      <w:start w:val="1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 w:hint="default"/>
      </w:rPr>
    </w:lvl>
    <w:lvl w:ilvl="4" w:tplc="E5720D10">
      <w:start w:val="1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 w:hint="default"/>
      </w:rPr>
    </w:lvl>
    <w:lvl w:ilvl="5" w:tplc="6EA422EE">
      <w:start w:val="1"/>
      <w:numFmt w:val="bullet"/>
      <w:lvlText w:val="-"/>
      <w:lvlJc w:val="left"/>
      <w:pPr>
        <w:tabs>
          <w:tab w:val="num" w:pos="4244"/>
        </w:tabs>
        <w:ind w:left="4244" w:hanging="360"/>
      </w:pPr>
      <w:rPr>
        <w:rFonts w:ascii="Times New Roman" w:hAnsi="Times New Roman" w:cs="Times New Roman" w:hint="default"/>
      </w:rPr>
    </w:lvl>
    <w:lvl w:ilvl="6" w:tplc="5B5C6B00">
      <w:start w:val="1"/>
      <w:numFmt w:val="bullet"/>
      <w:lvlText w:val="-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 w:hint="default"/>
      </w:rPr>
    </w:lvl>
    <w:lvl w:ilvl="7" w:tplc="79262078">
      <w:start w:val="1"/>
      <w:numFmt w:val="bullet"/>
      <w:lvlText w:val="-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 w:hint="default"/>
      </w:rPr>
    </w:lvl>
    <w:lvl w:ilvl="8" w:tplc="E4A2CFDC">
      <w:start w:val="1"/>
      <w:numFmt w:val="bullet"/>
      <w:lvlText w:val="-"/>
      <w:lvlJc w:val="left"/>
      <w:pPr>
        <w:tabs>
          <w:tab w:val="num" w:pos="6404"/>
        </w:tabs>
        <w:ind w:left="6404" w:hanging="360"/>
      </w:pPr>
      <w:rPr>
        <w:rFonts w:ascii="Times New Roman" w:hAnsi="Times New Roman" w:cs="Times New Roman" w:hint="default"/>
      </w:rPr>
    </w:lvl>
  </w:abstractNum>
  <w:abstractNum w:abstractNumId="7">
    <w:nsid w:val="41563F6D"/>
    <w:multiLevelType w:val="hybridMultilevel"/>
    <w:tmpl w:val="DC949E20"/>
    <w:lvl w:ilvl="0" w:tplc="D6229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DB8C4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B66A6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964D2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EF09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AFA96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EF0C3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940C8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2E20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B11098E"/>
    <w:multiLevelType w:val="hybridMultilevel"/>
    <w:tmpl w:val="22E8A9C2"/>
    <w:lvl w:ilvl="0" w:tplc="4262F8F2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9">
    <w:nsid w:val="544C24ED"/>
    <w:multiLevelType w:val="hybridMultilevel"/>
    <w:tmpl w:val="90908C9C"/>
    <w:lvl w:ilvl="0" w:tplc="0405000B">
      <w:start w:val="1"/>
      <w:numFmt w:val="bullet"/>
      <w:lvlText w:val=""/>
      <w:lvlJc w:val="left"/>
      <w:pPr>
        <w:tabs>
          <w:tab w:val="num" w:pos="-132"/>
        </w:tabs>
        <w:ind w:left="-132" w:hanging="360"/>
      </w:pPr>
      <w:rPr>
        <w:rFonts w:ascii="Wingdings" w:hAnsi="Wingdings" w:cs="Wingdings" w:hint="default"/>
      </w:rPr>
    </w:lvl>
    <w:lvl w:ilvl="1" w:tplc="7E3ADBB0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cs="Wingdings" w:hint="default"/>
      </w:rPr>
    </w:lvl>
    <w:lvl w:ilvl="2" w:tplc="98F67F8E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cs="Wingdings" w:hint="default"/>
      </w:rPr>
    </w:lvl>
    <w:lvl w:ilvl="3" w:tplc="ED36E7A4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cs="Wingdings" w:hint="default"/>
      </w:rPr>
    </w:lvl>
    <w:lvl w:ilvl="4" w:tplc="11C653A2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cs="Wingdings" w:hint="default"/>
      </w:rPr>
    </w:lvl>
    <w:lvl w:ilvl="5" w:tplc="BF8CCF94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cs="Wingdings" w:hint="default"/>
      </w:rPr>
    </w:lvl>
    <w:lvl w:ilvl="6" w:tplc="04AA4FCA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cs="Wingdings" w:hint="default"/>
      </w:rPr>
    </w:lvl>
    <w:lvl w:ilvl="7" w:tplc="5D64248C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cs="Wingdings" w:hint="default"/>
      </w:rPr>
    </w:lvl>
    <w:lvl w:ilvl="8" w:tplc="808E492A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cs="Wingdings" w:hint="default"/>
      </w:rPr>
    </w:lvl>
  </w:abstractNum>
  <w:abstractNum w:abstractNumId="10">
    <w:nsid w:val="5C904394"/>
    <w:multiLevelType w:val="multilevel"/>
    <w:tmpl w:val="BF84D9E8"/>
    <w:lvl w:ilvl="0">
      <w:start w:val="1"/>
      <w:numFmt w:val="decimal"/>
      <w:lvlText w:val="%1."/>
      <w:lvlJc w:val="left"/>
      <w:rPr>
        <w:rFonts w:ascii="Arial" w:eastAsia="Times New Roman" w:hAnsi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F03190"/>
    <w:multiLevelType w:val="hybridMultilevel"/>
    <w:tmpl w:val="507E6396"/>
    <w:lvl w:ilvl="0" w:tplc="0C56A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3240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04B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EB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CBF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0A0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F27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069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CC23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B00EDE"/>
    <w:multiLevelType w:val="hybridMultilevel"/>
    <w:tmpl w:val="B5A05C3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0658A3"/>
    <w:multiLevelType w:val="hybridMultilevel"/>
    <w:tmpl w:val="5DEA61F4"/>
    <w:lvl w:ilvl="0" w:tplc="396C2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C8AC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A04D6C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66CA56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77268D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CF07B6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D803F7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5BE153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A2E9D1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7E7C36EB"/>
    <w:multiLevelType w:val="hybridMultilevel"/>
    <w:tmpl w:val="DB84E632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9"/>
  </w:num>
  <w:num w:numId="5">
    <w:abstractNumId w:val="2"/>
  </w:num>
  <w:num w:numId="6">
    <w:abstractNumId w:val="7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1"/>
  </w:num>
  <w:num w:numId="12">
    <w:abstractNumId w:val="12"/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A23"/>
    <w:rsid w:val="000141A8"/>
    <w:rsid w:val="0002402F"/>
    <w:rsid w:val="00026C78"/>
    <w:rsid w:val="00034E59"/>
    <w:rsid w:val="00095A8C"/>
    <w:rsid w:val="000968BB"/>
    <w:rsid w:val="000C0D99"/>
    <w:rsid w:val="000C1C35"/>
    <w:rsid w:val="000C57A5"/>
    <w:rsid w:val="000E5213"/>
    <w:rsid w:val="000F08CE"/>
    <w:rsid w:val="000F2C6D"/>
    <w:rsid w:val="00114F0D"/>
    <w:rsid w:val="00121A8F"/>
    <w:rsid w:val="00124CEE"/>
    <w:rsid w:val="001637EC"/>
    <w:rsid w:val="00173D83"/>
    <w:rsid w:val="00174EDF"/>
    <w:rsid w:val="00175361"/>
    <w:rsid w:val="001866BF"/>
    <w:rsid w:val="001B62AE"/>
    <w:rsid w:val="001B695F"/>
    <w:rsid w:val="001D4F24"/>
    <w:rsid w:val="001D722E"/>
    <w:rsid w:val="001E4A8A"/>
    <w:rsid w:val="00202B19"/>
    <w:rsid w:val="00215EF1"/>
    <w:rsid w:val="00216E26"/>
    <w:rsid w:val="00243AAC"/>
    <w:rsid w:val="00244841"/>
    <w:rsid w:val="00274635"/>
    <w:rsid w:val="00276D4A"/>
    <w:rsid w:val="00283C1C"/>
    <w:rsid w:val="00287502"/>
    <w:rsid w:val="002A0021"/>
    <w:rsid w:val="002B068D"/>
    <w:rsid w:val="002B2717"/>
    <w:rsid w:val="002C0E35"/>
    <w:rsid w:val="002D5701"/>
    <w:rsid w:val="002E2597"/>
    <w:rsid w:val="002E3789"/>
    <w:rsid w:val="002E7195"/>
    <w:rsid w:val="0030721F"/>
    <w:rsid w:val="00315C35"/>
    <w:rsid w:val="003218A2"/>
    <w:rsid w:val="00331351"/>
    <w:rsid w:val="00331723"/>
    <w:rsid w:val="00351F1F"/>
    <w:rsid w:val="00382D05"/>
    <w:rsid w:val="003A1105"/>
    <w:rsid w:val="003B2EEB"/>
    <w:rsid w:val="003F1989"/>
    <w:rsid w:val="0042174F"/>
    <w:rsid w:val="004233FB"/>
    <w:rsid w:val="00443938"/>
    <w:rsid w:val="00444A2A"/>
    <w:rsid w:val="00465745"/>
    <w:rsid w:val="00470BC4"/>
    <w:rsid w:val="00472F79"/>
    <w:rsid w:val="004A40EF"/>
    <w:rsid w:val="004A4460"/>
    <w:rsid w:val="004C3AC0"/>
    <w:rsid w:val="004E1F24"/>
    <w:rsid w:val="00505C15"/>
    <w:rsid w:val="00512C84"/>
    <w:rsid w:val="005174B6"/>
    <w:rsid w:val="00581732"/>
    <w:rsid w:val="0059132A"/>
    <w:rsid w:val="00593FD0"/>
    <w:rsid w:val="005B4640"/>
    <w:rsid w:val="005C4B4A"/>
    <w:rsid w:val="005C7CA4"/>
    <w:rsid w:val="00613374"/>
    <w:rsid w:val="00637D6F"/>
    <w:rsid w:val="0064218A"/>
    <w:rsid w:val="00646453"/>
    <w:rsid w:val="0067523A"/>
    <w:rsid w:val="006A4FA0"/>
    <w:rsid w:val="006B2004"/>
    <w:rsid w:val="006B7123"/>
    <w:rsid w:val="006D1ABC"/>
    <w:rsid w:val="006D6795"/>
    <w:rsid w:val="006E045D"/>
    <w:rsid w:val="007003BC"/>
    <w:rsid w:val="00711ED8"/>
    <w:rsid w:val="007223A0"/>
    <w:rsid w:val="00727A32"/>
    <w:rsid w:val="00731D54"/>
    <w:rsid w:val="00756003"/>
    <w:rsid w:val="00765DA8"/>
    <w:rsid w:val="0077433B"/>
    <w:rsid w:val="00775AAF"/>
    <w:rsid w:val="007810BE"/>
    <w:rsid w:val="007843D6"/>
    <w:rsid w:val="007C5A0B"/>
    <w:rsid w:val="007D4877"/>
    <w:rsid w:val="007D5214"/>
    <w:rsid w:val="007F0A23"/>
    <w:rsid w:val="007F3B5C"/>
    <w:rsid w:val="007F5F81"/>
    <w:rsid w:val="00817D47"/>
    <w:rsid w:val="008C21EB"/>
    <w:rsid w:val="008D24F8"/>
    <w:rsid w:val="008E1CD8"/>
    <w:rsid w:val="009031DE"/>
    <w:rsid w:val="00910AAA"/>
    <w:rsid w:val="00913880"/>
    <w:rsid w:val="0092060D"/>
    <w:rsid w:val="0093685B"/>
    <w:rsid w:val="00950BAD"/>
    <w:rsid w:val="00982C83"/>
    <w:rsid w:val="00991947"/>
    <w:rsid w:val="0099399C"/>
    <w:rsid w:val="009A4E67"/>
    <w:rsid w:val="009B765E"/>
    <w:rsid w:val="009D1780"/>
    <w:rsid w:val="009D1D96"/>
    <w:rsid w:val="009F21E8"/>
    <w:rsid w:val="009F3141"/>
    <w:rsid w:val="009F463E"/>
    <w:rsid w:val="009F5396"/>
    <w:rsid w:val="00A012F3"/>
    <w:rsid w:val="00A15D19"/>
    <w:rsid w:val="00A4506A"/>
    <w:rsid w:val="00A477C4"/>
    <w:rsid w:val="00A6148C"/>
    <w:rsid w:val="00A749A2"/>
    <w:rsid w:val="00A75545"/>
    <w:rsid w:val="00A8090D"/>
    <w:rsid w:val="00A8390F"/>
    <w:rsid w:val="00A87433"/>
    <w:rsid w:val="00A90003"/>
    <w:rsid w:val="00AB7757"/>
    <w:rsid w:val="00AC4EB5"/>
    <w:rsid w:val="00AD60EF"/>
    <w:rsid w:val="00AE318C"/>
    <w:rsid w:val="00AF2760"/>
    <w:rsid w:val="00B04D39"/>
    <w:rsid w:val="00B1520F"/>
    <w:rsid w:val="00B47115"/>
    <w:rsid w:val="00B57E20"/>
    <w:rsid w:val="00B77FA7"/>
    <w:rsid w:val="00B82DB9"/>
    <w:rsid w:val="00B83C0C"/>
    <w:rsid w:val="00B97B7A"/>
    <w:rsid w:val="00BD6F9F"/>
    <w:rsid w:val="00C3260B"/>
    <w:rsid w:val="00C36341"/>
    <w:rsid w:val="00C50141"/>
    <w:rsid w:val="00C5277A"/>
    <w:rsid w:val="00C60DAA"/>
    <w:rsid w:val="00C72825"/>
    <w:rsid w:val="00C77A60"/>
    <w:rsid w:val="00C90282"/>
    <w:rsid w:val="00CB0031"/>
    <w:rsid w:val="00CB6301"/>
    <w:rsid w:val="00CD1C9C"/>
    <w:rsid w:val="00CD2A8D"/>
    <w:rsid w:val="00CE0C57"/>
    <w:rsid w:val="00CF45C1"/>
    <w:rsid w:val="00CF6FFB"/>
    <w:rsid w:val="00D00DFC"/>
    <w:rsid w:val="00D0107C"/>
    <w:rsid w:val="00D21009"/>
    <w:rsid w:val="00D24A6E"/>
    <w:rsid w:val="00D24DC7"/>
    <w:rsid w:val="00D55E8C"/>
    <w:rsid w:val="00D56B99"/>
    <w:rsid w:val="00D705EB"/>
    <w:rsid w:val="00D7751D"/>
    <w:rsid w:val="00D93956"/>
    <w:rsid w:val="00DA2343"/>
    <w:rsid w:val="00DB175E"/>
    <w:rsid w:val="00DD211F"/>
    <w:rsid w:val="00DD487F"/>
    <w:rsid w:val="00DE5C7A"/>
    <w:rsid w:val="00DE6088"/>
    <w:rsid w:val="00DE7ABF"/>
    <w:rsid w:val="00DF079E"/>
    <w:rsid w:val="00DF3751"/>
    <w:rsid w:val="00E00A97"/>
    <w:rsid w:val="00E1025B"/>
    <w:rsid w:val="00E6464A"/>
    <w:rsid w:val="00E778EA"/>
    <w:rsid w:val="00E97D35"/>
    <w:rsid w:val="00EB1295"/>
    <w:rsid w:val="00EC60C1"/>
    <w:rsid w:val="00EC6B10"/>
    <w:rsid w:val="00ED60B1"/>
    <w:rsid w:val="00ED6354"/>
    <w:rsid w:val="00EE7171"/>
    <w:rsid w:val="00F03963"/>
    <w:rsid w:val="00F35E5C"/>
    <w:rsid w:val="00F50B0B"/>
    <w:rsid w:val="00F94640"/>
    <w:rsid w:val="00F97C69"/>
    <w:rsid w:val="00FA4395"/>
    <w:rsid w:val="00FB2E2E"/>
    <w:rsid w:val="00FC5FE4"/>
    <w:rsid w:val="00FF0633"/>
    <w:rsid w:val="00FF36B7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D54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31D54"/>
    <w:rPr>
      <w:color w:val="auto"/>
      <w:u w:val="single"/>
    </w:rPr>
  </w:style>
  <w:style w:type="character" w:customStyle="1" w:styleId="Nadpis3">
    <w:name w:val="Nadpis #3_"/>
    <w:link w:val="Nadpis30"/>
    <w:uiPriority w:val="99"/>
    <w:locked/>
    <w:rsid w:val="00731D54"/>
    <w:rPr>
      <w:rFonts w:ascii="Arial" w:hAnsi="Arial" w:cs="Arial"/>
      <w:spacing w:val="0"/>
      <w:sz w:val="26"/>
      <w:szCs w:val="26"/>
    </w:rPr>
  </w:style>
  <w:style w:type="character" w:customStyle="1" w:styleId="Nadpis1">
    <w:name w:val="Nadpis #1_"/>
    <w:link w:val="Nadpis10"/>
    <w:uiPriority w:val="99"/>
    <w:locked/>
    <w:rsid w:val="00731D54"/>
    <w:rPr>
      <w:rFonts w:ascii="Arial" w:hAnsi="Arial" w:cs="Arial"/>
      <w:spacing w:val="0"/>
      <w:sz w:val="43"/>
      <w:szCs w:val="43"/>
    </w:rPr>
  </w:style>
  <w:style w:type="character" w:customStyle="1" w:styleId="Zkladntext2">
    <w:name w:val="Základní text (2)_"/>
    <w:link w:val="Zkladntext20"/>
    <w:uiPriority w:val="99"/>
    <w:locked/>
    <w:rsid w:val="00731D54"/>
    <w:rPr>
      <w:rFonts w:ascii="Times New Roman" w:hAnsi="Times New Roman" w:cs="Times New Roman"/>
      <w:spacing w:val="0"/>
      <w:sz w:val="19"/>
      <w:szCs w:val="19"/>
    </w:rPr>
  </w:style>
  <w:style w:type="character" w:customStyle="1" w:styleId="Nadpis4">
    <w:name w:val="Nadpis #4_"/>
    <w:link w:val="Nadpis40"/>
    <w:uiPriority w:val="99"/>
    <w:locked/>
    <w:rsid w:val="00731D54"/>
    <w:rPr>
      <w:rFonts w:ascii="Arial" w:hAnsi="Arial" w:cs="Arial"/>
      <w:spacing w:val="0"/>
      <w:sz w:val="23"/>
      <w:szCs w:val="23"/>
    </w:rPr>
  </w:style>
  <w:style w:type="character" w:customStyle="1" w:styleId="Zkladntext">
    <w:name w:val="Základní text_"/>
    <w:link w:val="Zkladntext21"/>
    <w:uiPriority w:val="99"/>
    <w:locked/>
    <w:rsid w:val="00731D54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3">
    <w:name w:val="Základní text (3)_"/>
    <w:link w:val="Zkladntext30"/>
    <w:uiPriority w:val="99"/>
    <w:locked/>
    <w:rsid w:val="00731D54"/>
    <w:rPr>
      <w:rFonts w:ascii="Times New Roman" w:hAnsi="Times New Roman" w:cs="Times New Roman"/>
      <w:spacing w:val="0"/>
      <w:sz w:val="14"/>
      <w:szCs w:val="14"/>
    </w:rPr>
  </w:style>
  <w:style w:type="character" w:customStyle="1" w:styleId="Zkladntext4">
    <w:name w:val="Základní text (4)_"/>
    <w:link w:val="Zkladntext41"/>
    <w:uiPriority w:val="99"/>
    <w:locked/>
    <w:rsid w:val="00731D54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426pt">
    <w:name w:val="Základní text (4) + 26 pt"/>
    <w:aliases w:val="Ne tučné"/>
    <w:uiPriority w:val="99"/>
    <w:rsid w:val="00731D54"/>
    <w:rPr>
      <w:rFonts w:ascii="Times New Roman" w:hAnsi="Times New Roman" w:cs="Times New Roman"/>
      <w:b/>
      <w:bCs/>
      <w:spacing w:val="0"/>
      <w:sz w:val="52"/>
      <w:szCs w:val="52"/>
    </w:rPr>
  </w:style>
  <w:style w:type="character" w:customStyle="1" w:styleId="Zkladntext1">
    <w:name w:val="Základní text1"/>
    <w:uiPriority w:val="99"/>
    <w:rsid w:val="00731D54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Zkladntext5">
    <w:name w:val="Základní text (5)_"/>
    <w:link w:val="Zkladntext50"/>
    <w:uiPriority w:val="99"/>
    <w:locked/>
    <w:rsid w:val="00731D54"/>
    <w:rPr>
      <w:rFonts w:ascii="Times New Roman" w:hAnsi="Times New Roman" w:cs="Times New Roman"/>
      <w:spacing w:val="0"/>
      <w:sz w:val="13"/>
      <w:szCs w:val="13"/>
    </w:rPr>
  </w:style>
  <w:style w:type="character" w:customStyle="1" w:styleId="ZhlavneboZpat">
    <w:name w:val="Záhlaví nebo Zápatí_"/>
    <w:link w:val="ZhlavneboZpat0"/>
    <w:uiPriority w:val="99"/>
    <w:locked/>
    <w:rsid w:val="00731D54"/>
    <w:rPr>
      <w:rFonts w:ascii="Times New Roman" w:hAnsi="Times New Roman" w:cs="Times New Roman"/>
      <w:sz w:val="20"/>
      <w:szCs w:val="20"/>
    </w:rPr>
  </w:style>
  <w:style w:type="character" w:customStyle="1" w:styleId="ZhlavneboZpat115pt">
    <w:name w:val="Záhlaví nebo Zápatí + 11.5 pt"/>
    <w:uiPriority w:val="99"/>
    <w:rsid w:val="00731D54"/>
    <w:rPr>
      <w:rFonts w:ascii="Times New Roman" w:hAnsi="Times New Roman" w:cs="Times New Roman"/>
      <w:sz w:val="23"/>
      <w:szCs w:val="23"/>
    </w:rPr>
  </w:style>
  <w:style w:type="character" w:customStyle="1" w:styleId="Zkladntext485pt">
    <w:name w:val="Základní text (4) + 8.5 pt"/>
    <w:aliases w:val="Ne tučné1,Kurzíva"/>
    <w:uiPriority w:val="99"/>
    <w:rsid w:val="00731D54"/>
    <w:rPr>
      <w:rFonts w:ascii="Times New Roman" w:hAnsi="Times New Roman" w:cs="Times New Roman"/>
      <w:b/>
      <w:bCs/>
      <w:i/>
      <w:iCs/>
      <w:spacing w:val="0"/>
      <w:sz w:val="17"/>
      <w:szCs w:val="17"/>
    </w:rPr>
  </w:style>
  <w:style w:type="character" w:customStyle="1" w:styleId="Zkladntext40">
    <w:name w:val="Základní text (4)"/>
    <w:uiPriority w:val="99"/>
    <w:rsid w:val="00731D54"/>
    <w:rPr>
      <w:rFonts w:ascii="Times New Roman" w:hAnsi="Times New Roman" w:cs="Times New Roman"/>
      <w:spacing w:val="0"/>
      <w:sz w:val="15"/>
      <w:szCs w:val="15"/>
      <w:u w:val="single"/>
    </w:rPr>
  </w:style>
  <w:style w:type="character" w:customStyle="1" w:styleId="Nadpis2">
    <w:name w:val="Nadpis #2_"/>
    <w:link w:val="Nadpis20"/>
    <w:uiPriority w:val="99"/>
    <w:locked/>
    <w:rsid w:val="00731D54"/>
    <w:rPr>
      <w:rFonts w:ascii="Arial" w:hAnsi="Arial" w:cs="Arial"/>
      <w:spacing w:val="0"/>
      <w:sz w:val="26"/>
      <w:szCs w:val="26"/>
    </w:rPr>
  </w:style>
  <w:style w:type="paragraph" w:customStyle="1" w:styleId="Nadpis30">
    <w:name w:val="Nadpis #3"/>
    <w:basedOn w:val="Normln"/>
    <w:link w:val="Nadpis3"/>
    <w:uiPriority w:val="99"/>
    <w:rsid w:val="00731D54"/>
    <w:pPr>
      <w:shd w:val="clear" w:color="auto" w:fill="FFFFFF"/>
      <w:spacing w:after="240" w:line="240" w:lineRule="atLeast"/>
      <w:outlineLvl w:val="2"/>
    </w:pPr>
    <w:rPr>
      <w:rFonts w:ascii="Arial" w:eastAsia="Arial Unicode MS" w:hAnsi="Arial" w:cs="Arial"/>
      <w:color w:val="auto"/>
      <w:sz w:val="26"/>
      <w:szCs w:val="26"/>
    </w:rPr>
  </w:style>
  <w:style w:type="paragraph" w:customStyle="1" w:styleId="Nadpis10">
    <w:name w:val="Nadpis #1"/>
    <w:basedOn w:val="Normln"/>
    <w:link w:val="Nadpis1"/>
    <w:uiPriority w:val="99"/>
    <w:rsid w:val="00731D54"/>
    <w:pPr>
      <w:shd w:val="clear" w:color="auto" w:fill="FFFFFF"/>
      <w:spacing w:before="240" w:line="514" w:lineRule="exact"/>
      <w:jc w:val="center"/>
      <w:outlineLvl w:val="0"/>
    </w:pPr>
    <w:rPr>
      <w:rFonts w:ascii="Arial" w:eastAsia="Arial Unicode MS" w:hAnsi="Arial" w:cs="Arial"/>
      <w:color w:val="auto"/>
      <w:sz w:val="43"/>
      <w:szCs w:val="43"/>
    </w:rPr>
  </w:style>
  <w:style w:type="paragraph" w:customStyle="1" w:styleId="Zkladntext20">
    <w:name w:val="Základní text (2)"/>
    <w:basedOn w:val="Normln"/>
    <w:link w:val="Zkladntext2"/>
    <w:uiPriority w:val="99"/>
    <w:rsid w:val="00731D54"/>
    <w:pPr>
      <w:shd w:val="clear" w:color="auto" w:fill="FFFFFF"/>
      <w:spacing w:after="120" w:line="235" w:lineRule="exact"/>
      <w:ind w:firstLine="300"/>
    </w:pPr>
    <w:rPr>
      <w:rFonts w:eastAsia="Arial Unicode MS"/>
      <w:color w:val="auto"/>
      <w:sz w:val="19"/>
      <w:szCs w:val="19"/>
    </w:rPr>
  </w:style>
  <w:style w:type="paragraph" w:customStyle="1" w:styleId="Nadpis40">
    <w:name w:val="Nadpis #4"/>
    <w:basedOn w:val="Normln"/>
    <w:link w:val="Nadpis4"/>
    <w:uiPriority w:val="99"/>
    <w:rsid w:val="00731D54"/>
    <w:pPr>
      <w:shd w:val="clear" w:color="auto" w:fill="FFFFFF"/>
      <w:spacing w:before="120" w:after="120" w:line="240" w:lineRule="atLeast"/>
      <w:outlineLvl w:val="3"/>
    </w:pPr>
    <w:rPr>
      <w:rFonts w:ascii="Arial" w:eastAsia="Arial Unicode MS" w:hAnsi="Arial" w:cs="Arial"/>
      <w:color w:val="auto"/>
      <w:sz w:val="23"/>
      <w:szCs w:val="23"/>
    </w:rPr>
  </w:style>
  <w:style w:type="paragraph" w:customStyle="1" w:styleId="Zkladntext21">
    <w:name w:val="Základní text2"/>
    <w:basedOn w:val="Normln"/>
    <w:link w:val="Zkladntext"/>
    <w:uiPriority w:val="99"/>
    <w:rsid w:val="00731D54"/>
    <w:pPr>
      <w:shd w:val="clear" w:color="auto" w:fill="FFFFFF"/>
      <w:spacing w:before="120" w:after="120" w:line="230" w:lineRule="exact"/>
      <w:ind w:firstLine="300"/>
    </w:pPr>
    <w:rPr>
      <w:rFonts w:eastAsia="Arial Unicode MS"/>
      <w:color w:val="auto"/>
      <w:sz w:val="19"/>
      <w:szCs w:val="19"/>
    </w:rPr>
  </w:style>
  <w:style w:type="paragraph" w:customStyle="1" w:styleId="Zkladntext30">
    <w:name w:val="Základní text (3)"/>
    <w:basedOn w:val="Normln"/>
    <w:link w:val="Zkladntext3"/>
    <w:uiPriority w:val="99"/>
    <w:rsid w:val="00731D54"/>
    <w:pPr>
      <w:shd w:val="clear" w:color="auto" w:fill="FFFFFF"/>
      <w:spacing w:before="120" w:line="240" w:lineRule="atLeast"/>
    </w:pPr>
    <w:rPr>
      <w:rFonts w:eastAsia="Arial Unicode MS"/>
      <w:color w:val="auto"/>
      <w:sz w:val="14"/>
      <w:szCs w:val="14"/>
    </w:rPr>
  </w:style>
  <w:style w:type="paragraph" w:customStyle="1" w:styleId="Zkladntext41">
    <w:name w:val="Základní text (4)1"/>
    <w:basedOn w:val="Normln"/>
    <w:link w:val="Zkladntext4"/>
    <w:uiPriority w:val="99"/>
    <w:rsid w:val="00731D54"/>
    <w:pPr>
      <w:shd w:val="clear" w:color="auto" w:fill="FFFFFF"/>
      <w:spacing w:line="240" w:lineRule="atLeast"/>
      <w:jc w:val="center"/>
    </w:pPr>
    <w:rPr>
      <w:rFonts w:eastAsia="Arial Unicode MS"/>
      <w:color w:val="auto"/>
      <w:sz w:val="15"/>
      <w:szCs w:val="15"/>
    </w:rPr>
  </w:style>
  <w:style w:type="paragraph" w:customStyle="1" w:styleId="Zkladntext50">
    <w:name w:val="Základní text (5)"/>
    <w:basedOn w:val="Normln"/>
    <w:link w:val="Zkladntext5"/>
    <w:uiPriority w:val="99"/>
    <w:rsid w:val="00731D54"/>
    <w:pPr>
      <w:shd w:val="clear" w:color="auto" w:fill="FFFFFF"/>
      <w:spacing w:before="240" w:line="240" w:lineRule="atLeast"/>
    </w:pPr>
    <w:rPr>
      <w:rFonts w:eastAsia="Arial Unicode MS"/>
      <w:color w:val="auto"/>
      <w:sz w:val="13"/>
      <w:szCs w:val="13"/>
    </w:rPr>
  </w:style>
  <w:style w:type="paragraph" w:customStyle="1" w:styleId="ZhlavneboZpat0">
    <w:name w:val="Záhlaví nebo Zápatí"/>
    <w:basedOn w:val="Normln"/>
    <w:link w:val="ZhlavneboZpat"/>
    <w:uiPriority w:val="99"/>
    <w:rsid w:val="00731D54"/>
    <w:pPr>
      <w:shd w:val="clear" w:color="auto" w:fill="FFFFFF"/>
    </w:pPr>
    <w:rPr>
      <w:rFonts w:eastAsia="Arial Unicode MS"/>
      <w:color w:val="auto"/>
      <w:sz w:val="20"/>
      <w:szCs w:val="20"/>
    </w:rPr>
  </w:style>
  <w:style w:type="paragraph" w:customStyle="1" w:styleId="Nadpis20">
    <w:name w:val="Nadpis #2"/>
    <w:basedOn w:val="Normln"/>
    <w:link w:val="Nadpis2"/>
    <w:uiPriority w:val="99"/>
    <w:rsid w:val="00731D54"/>
    <w:pPr>
      <w:shd w:val="clear" w:color="auto" w:fill="FFFFFF"/>
      <w:spacing w:before="120" w:after="120" w:line="240" w:lineRule="atLeast"/>
      <w:outlineLvl w:val="1"/>
    </w:pPr>
    <w:rPr>
      <w:rFonts w:ascii="Arial" w:eastAsia="Arial Unicode MS" w:hAnsi="Arial" w:cs="Arial"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C326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72F79"/>
    <w:rPr>
      <w:rFonts w:ascii="Times New Roman" w:hAnsi="Times New Roman" w:cs="Times New Roman"/>
      <w:color w:val="000000"/>
      <w:sz w:val="2"/>
      <w:szCs w:val="2"/>
    </w:rPr>
  </w:style>
  <w:style w:type="paragraph" w:styleId="Normlnweb">
    <w:name w:val="Normal (Web)"/>
    <w:basedOn w:val="Normln"/>
    <w:uiPriority w:val="99"/>
    <w:rsid w:val="00DE5C7A"/>
    <w:pPr>
      <w:spacing w:before="100" w:beforeAutospacing="1" w:after="100" w:afterAutospacing="1"/>
    </w:pPr>
    <w:rPr>
      <w:color w:val="auto"/>
    </w:rPr>
  </w:style>
  <w:style w:type="character" w:styleId="Zvraznn">
    <w:name w:val="Emphasis"/>
    <w:uiPriority w:val="99"/>
    <w:qFormat/>
    <w:rsid w:val="00DE5C7A"/>
    <w:rPr>
      <w:i/>
      <w:iCs/>
    </w:rPr>
  </w:style>
  <w:style w:type="paragraph" w:styleId="Odstavecseseznamem">
    <w:name w:val="List Paragraph"/>
    <w:basedOn w:val="Normln"/>
    <w:uiPriority w:val="99"/>
    <w:qFormat/>
    <w:rsid w:val="00817D47"/>
    <w:pPr>
      <w:ind w:left="720"/>
    </w:pPr>
    <w:rPr>
      <w:color w:val="auto"/>
    </w:rPr>
  </w:style>
  <w:style w:type="paragraph" w:styleId="Zhlav">
    <w:name w:val="header"/>
    <w:basedOn w:val="Normln"/>
    <w:link w:val="ZhlavChar"/>
    <w:uiPriority w:val="99"/>
    <w:rsid w:val="00D0107C"/>
    <w:pPr>
      <w:tabs>
        <w:tab w:val="center" w:pos="4536"/>
        <w:tab w:val="right" w:pos="9072"/>
      </w:tabs>
    </w:pPr>
    <w:rPr>
      <w:rFonts w:ascii="Arial Unicode MS" w:eastAsia="Arial Unicode MS" w:hAnsi="Arial Unicode MS" w:cs="Arial Unicode MS"/>
    </w:rPr>
  </w:style>
  <w:style w:type="character" w:customStyle="1" w:styleId="ZhlavChar">
    <w:name w:val="Záhlaví Char"/>
    <w:link w:val="Zhlav"/>
    <w:uiPriority w:val="99"/>
    <w:locked/>
    <w:rsid w:val="00D0107C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D0107C"/>
    <w:pPr>
      <w:tabs>
        <w:tab w:val="center" w:pos="4536"/>
        <w:tab w:val="right" w:pos="9072"/>
      </w:tabs>
    </w:pPr>
    <w:rPr>
      <w:rFonts w:ascii="Arial Unicode MS" w:eastAsia="Arial Unicode MS" w:hAnsi="Arial Unicode MS" w:cs="Arial Unicode MS"/>
    </w:rPr>
  </w:style>
  <w:style w:type="character" w:customStyle="1" w:styleId="ZpatChar">
    <w:name w:val="Zápatí Char"/>
    <w:link w:val="Zpat"/>
    <w:uiPriority w:val="99"/>
    <w:locked/>
    <w:rsid w:val="00D0107C"/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rsid w:val="00E00A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0A9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72F79"/>
    <w:rPr>
      <w:rFonts w:ascii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0A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72F79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2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19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9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194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94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9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95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95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846</Words>
  <Characters>4992</Characters>
  <Application>Microsoft Office Word</Application>
  <DocSecurity>0</DocSecurity>
  <Lines>41</Lines>
  <Paragraphs>11</Paragraphs>
  <ScaleCrop>false</ScaleCrop>
  <Company>Daňová správa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Informační leták Ministerstva financí</dc:title>
  <dc:subject/>
  <dc:creator>Jindřich Klestil</dc:creator>
  <cp:keywords/>
  <dc:description/>
  <cp:lastModifiedBy>Žabčíková Zuzana, Mgr.</cp:lastModifiedBy>
  <cp:revision>25</cp:revision>
  <cp:lastPrinted>2013-12-18T13:56:00Z</cp:lastPrinted>
  <dcterms:created xsi:type="dcterms:W3CDTF">2014-01-03T11:19:00Z</dcterms:created>
  <dcterms:modified xsi:type="dcterms:W3CDTF">2014-01-06T07:22:00Z</dcterms:modified>
</cp:coreProperties>
</file>